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1C017B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92F7A" w:rsidRPr="00B92F7A">
        <w:rPr>
          <w:rFonts w:ascii="Arial" w:eastAsia="Calibri" w:hAnsi="Arial" w:cs="Arial"/>
          <w:i/>
          <w:iCs/>
        </w:rPr>
        <w:t>32846 PALFINGER KĖLIMO ĮRENGINIŲ TECHNINĖS PRIEŽIŪROS IR REMONTO PASLAUGOS BEI DALYS</w:t>
      </w:r>
      <w:r w:rsidR="00B92F7A" w:rsidRPr="00B92F7A">
        <w:rPr>
          <w:rFonts w:ascii="Arial" w:eastAsia="Calibri" w:hAnsi="Arial" w:cs="Arial"/>
          <w:i/>
          <w:iCs/>
        </w:rPr>
        <w:t xml:space="preserve"> </w:t>
      </w:r>
      <w:r w:rsidRPr="00B92F7A">
        <w:rPr>
          <w:rFonts w:ascii="Arial" w:eastAsia="Calibri" w:hAnsi="Arial" w:cs="Arial"/>
        </w:rPr>
        <w:t>pirkime</w:t>
      </w:r>
      <w:r w:rsidR="00800AE3" w:rsidRPr="00B92F7A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5E6768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92F7A"/>
    <w:rsid w:val="00BA75D4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E6768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6BCCA3-40C6-470C-9C92-B5AD4137322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